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3784"/>
          <w:tab w:val="center" w:pos="5102"/>
        </w:tabs>
        <w:spacing w:after="0" w:line="360" w:lineRule="auto"/>
        <w:rPr>
          <w:rFonts w:ascii="Narkisim" w:cs="Narkisim" w:eastAsia="Narkisim" w:hAnsi="Narkisim"/>
          <w:b w:val="1"/>
          <w:sz w:val="30"/>
          <w:szCs w:val="30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In memory of Belda and Marcel Lindenbaum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pos="3784"/>
          <w:tab w:val="center" w:pos="5102"/>
        </w:tabs>
        <w:bidi w:val="1"/>
        <w:spacing w:after="0" w:line="360" w:lineRule="auto"/>
        <w:rPr>
          <w:rFonts w:ascii="Narkisim" w:cs="Narkisim" w:eastAsia="Narkisim" w:hAnsi="Narkisim"/>
          <w:b w:val="1"/>
          <w:sz w:val="28"/>
          <w:szCs w:val="28"/>
        </w:rPr>
      </w:pPr>
      <w:bookmarkStart w:colFirst="0" w:colLast="0" w:name="_heading=h.rkf07mltaono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3784"/>
          <w:tab w:val="center" w:pos="5102"/>
        </w:tabs>
        <w:bidi w:val="1"/>
        <w:spacing w:after="0" w:line="360" w:lineRule="auto"/>
        <w:rPr>
          <w:rFonts w:ascii="Narkisim" w:cs="Narkisim" w:eastAsia="Narkisim" w:hAnsi="Narkisim"/>
          <w:b w:val="1"/>
          <w:sz w:val="24"/>
          <w:szCs w:val="24"/>
        </w:rPr>
      </w:pPr>
      <w:bookmarkStart w:colFirst="0" w:colLast="0" w:name="_heading=h.m605w2jd3erk" w:id="2"/>
      <w:bookmarkEnd w:id="2"/>
      <w:r w:rsidDel="00000000" w:rsidR="00000000" w:rsidRPr="00000000">
        <w:rPr>
          <w:rFonts w:ascii="Narkisim" w:cs="Narkisim" w:eastAsia="Narkisim" w:hAnsi="Narkisim"/>
          <w:b w:val="1"/>
          <w:sz w:val="28"/>
          <w:szCs w:val="28"/>
          <w:rtl w:val="1"/>
        </w:rPr>
        <w:t xml:space="preserve">שם</w:t>
      </w:r>
      <w:r w:rsidDel="00000000" w:rsidR="00000000" w:rsidRPr="00000000">
        <w:rPr>
          <w:rFonts w:ascii="Narkisim" w:cs="Narkisim" w:eastAsia="Narkisim" w:hAnsi="Narkisim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b w:val="1"/>
          <w:sz w:val="28"/>
          <w:szCs w:val="28"/>
          <w:rtl w:val="1"/>
        </w:rPr>
        <w:t xml:space="preserve">השיעור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0"/>
        </w:rPr>
        <w:t xml:space="preserve"> The Mishneh Torah: Humankind’s Role in the Writings of God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pos="3784"/>
          <w:tab w:val="center" w:pos="5102"/>
        </w:tabs>
        <w:bidi w:val="1"/>
        <w:spacing w:after="0" w:line="360" w:lineRule="auto"/>
        <w:rPr>
          <w:rFonts w:ascii="Narkisim" w:cs="Narkisim" w:eastAsia="Narkisim" w:hAnsi="Narkisim"/>
          <w:b w:val="1"/>
          <w:sz w:val="24"/>
          <w:szCs w:val="24"/>
        </w:rPr>
      </w:pPr>
      <w:r w:rsidDel="00000000" w:rsidR="00000000" w:rsidRPr="00000000">
        <w:rPr>
          <w:rFonts w:ascii="Narkisim" w:cs="Narkisim" w:eastAsia="Narkisim" w:hAnsi="Narkisim"/>
          <w:b w:val="1"/>
          <w:sz w:val="28"/>
          <w:szCs w:val="28"/>
          <w:rtl w:val="1"/>
        </w:rPr>
        <w:t xml:space="preserve">שם</w:t>
      </w:r>
      <w:r w:rsidDel="00000000" w:rsidR="00000000" w:rsidRPr="00000000">
        <w:rPr>
          <w:rFonts w:ascii="Narkisim" w:cs="Narkisim" w:eastAsia="Narkisim" w:hAnsi="Narkisim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b w:val="1"/>
          <w:sz w:val="28"/>
          <w:szCs w:val="28"/>
          <w:rtl w:val="1"/>
        </w:rPr>
        <w:t xml:space="preserve">המרצה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Narkisim" w:cs="Narkisim" w:eastAsia="Narkisim" w:hAnsi="Narkisim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Narkisim" w:cs="Narkisim" w:eastAsia="Narkisim" w:hAnsi="Narkisim"/>
          <w:sz w:val="28"/>
          <w:szCs w:val="28"/>
          <w:rtl w:val="1"/>
        </w:rPr>
        <w:t xml:space="preserve">כתובת</w:t>
      </w:r>
      <w:r w:rsidDel="00000000" w:rsidR="00000000" w:rsidRPr="00000000">
        <w:rPr>
          <w:rFonts w:ascii="Narkisim" w:cs="Narkisim" w:eastAsia="Narkisim" w:hAnsi="Narkisim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8"/>
          <w:szCs w:val="28"/>
          <w:rtl w:val="1"/>
        </w:rPr>
        <w:t xml:space="preserve">דוא</w:t>
      </w:r>
      <w:r w:rsidDel="00000000" w:rsidR="00000000" w:rsidRPr="00000000">
        <w:rPr>
          <w:rFonts w:ascii="Narkisim" w:cs="Narkisim" w:eastAsia="Narkisim" w:hAnsi="Narkisim"/>
          <w:sz w:val="28"/>
          <w:szCs w:val="28"/>
          <w:rtl w:val="1"/>
        </w:rPr>
        <w:t xml:space="preserve">"</w:t>
      </w:r>
      <w:r w:rsidDel="00000000" w:rsidR="00000000" w:rsidRPr="00000000">
        <w:rPr>
          <w:rFonts w:ascii="Narkisim" w:cs="Narkisim" w:eastAsia="Narkisim" w:hAnsi="Narkisim"/>
          <w:sz w:val="28"/>
          <w:szCs w:val="28"/>
          <w:rtl w:val="1"/>
        </w:rPr>
        <w:t xml:space="preserve">ל</w:t>
      </w:r>
      <w:r w:rsidDel="00000000" w:rsidR="00000000" w:rsidRPr="00000000">
        <w:rPr>
          <w:rFonts w:ascii="Narkisim" w:cs="Narkisim" w:eastAsia="Narkisim" w:hAnsi="Narkisim"/>
          <w:sz w:val="28"/>
          <w:szCs w:val="28"/>
          <w:rtl w:val="1"/>
        </w:rPr>
        <w:t xml:space="preserve">)</w:t>
      </w:r>
      <w:r w:rsidDel="00000000" w:rsidR="00000000" w:rsidRPr="00000000">
        <w:rPr>
          <w:rFonts w:ascii="Narkisim" w:cs="Narkisim" w:eastAsia="Narkisim" w:hAnsi="Narkisim"/>
          <w:b w:val="1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0"/>
        </w:rPr>
        <w:t xml:space="preserve">Rabbi Dr. Kenneth (Katriel) Brander (president@ots.org.il)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pos="3784"/>
          <w:tab w:val="center" w:pos="5102"/>
        </w:tabs>
        <w:bidi w:val="1"/>
        <w:spacing w:after="0" w:line="360" w:lineRule="auto"/>
        <w:rPr>
          <w:rFonts w:ascii="Narkisim" w:cs="Narkisim" w:eastAsia="Narkisim" w:hAnsi="Narkisim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.1</w:t>
      </w:r>
      <w:r w:rsidDel="00000000" w:rsidR="00000000" w:rsidRPr="00000000">
        <w:rPr>
          <w:b w:val="1"/>
          <w:sz w:val="28"/>
          <w:szCs w:val="28"/>
          <w:rtl w:val="1"/>
        </w:rPr>
        <w:t xml:space="preserve">רמב</w:t>
      </w:r>
      <w:r w:rsidDel="00000000" w:rsidR="00000000" w:rsidRPr="00000000">
        <w:rPr>
          <w:b w:val="1"/>
          <w:sz w:val="28"/>
          <w:szCs w:val="28"/>
          <w:rtl w:val="1"/>
        </w:rPr>
        <w:t xml:space="preserve">"</w:t>
      </w:r>
      <w:r w:rsidDel="00000000" w:rsidR="00000000" w:rsidRPr="00000000">
        <w:rPr>
          <w:b w:val="1"/>
          <w:sz w:val="28"/>
          <w:szCs w:val="28"/>
          <w:rtl w:val="1"/>
        </w:rPr>
        <w:t xml:space="preserve">ן</w:t>
      </w:r>
      <w:r w:rsidDel="00000000" w:rsidR="00000000" w:rsidRPr="00000000">
        <w:rPr>
          <w:b w:val="1"/>
          <w:sz w:val="28"/>
          <w:szCs w:val="28"/>
          <w:rtl w:val="1"/>
        </w:rPr>
        <w:t xml:space="preserve">, </w:t>
      </w:r>
      <w:r w:rsidDel="00000000" w:rsidR="00000000" w:rsidRPr="00000000">
        <w:rPr>
          <w:b w:val="1"/>
          <w:sz w:val="28"/>
          <w:szCs w:val="28"/>
          <w:rtl w:val="1"/>
        </w:rPr>
        <w:t xml:space="preserve">הקדמה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לספר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דברים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Nachmanides, Introduction to Sefer Devarim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br w:type="textWrapping"/>
      </w:r>
      <w:r w:rsidDel="00000000" w:rsidR="00000000" w:rsidRPr="00000000">
        <w:rPr>
          <w:sz w:val="24"/>
          <w:szCs w:val="24"/>
          <w:rtl w:val="1"/>
        </w:rPr>
        <w:t xml:space="preserve">הספר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הזה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ענינו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ידוע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שהוא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יבאר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בו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משה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רבינו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לדור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הנכנס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בארץ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רוב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מצות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התורה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הצריכות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לישראל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ולא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יזכיר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בו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דבר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בתורת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כהנים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ולא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במעשה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הקרבנות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ולא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בטהרת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כהנים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ובמעשיה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'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שכבר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ביאר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אות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'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להם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והכהנים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זריזים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הם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לא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יצטרכו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לאזהרה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אחר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אזהרה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אבל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בישראל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יחזיר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המצות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הנוהגות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בהם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פעם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להוסיף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בהם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ביאור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ופעם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שלא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יחזיר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אות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'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רק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להזהיר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את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ישראל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ברוב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אזהרות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כמו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שיבאו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בס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'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הזה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בעניני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עבודת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גלולי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'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אזהרות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מרובות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זו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אחר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זו</w:t>
      </w:r>
      <w:r w:rsidDel="00000000" w:rsidR="00000000" w:rsidRPr="00000000">
        <w:rPr>
          <w:sz w:val="24"/>
          <w:szCs w:val="24"/>
          <w:rtl w:val="0"/>
        </w:rPr>
        <w:t xml:space="preserve"> …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וכבר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נאמרו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לו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כולן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בסיני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או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באוהל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מועד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בשנ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'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הראשונ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'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קודם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המרגלי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'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כי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בערבות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מואב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לא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נתחדשו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לו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אלא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דברי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הברית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כאשר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נתפרש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בו</w:t>
      </w:r>
      <w:r w:rsidDel="00000000" w:rsidR="00000000" w:rsidRPr="00000000">
        <w:rPr>
          <w:sz w:val="24"/>
          <w:szCs w:val="24"/>
          <w:rtl w:val="0"/>
        </w:rPr>
        <w:t xml:space="preserve">….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אבל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לא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נכתבו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המצות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בספרי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'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הראשוני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'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שידבר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עם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יוצאי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מצרים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כי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אולי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לא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נהגו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באותן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המצות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רק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בארץ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אע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"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פ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שהן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חובת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הגוף</w:t>
      </w:r>
      <w:r w:rsidDel="00000000" w:rsidR="00000000" w:rsidRPr="00000000">
        <w:rPr>
          <w:sz w:val="24"/>
          <w:szCs w:val="24"/>
          <w:u w:val="single"/>
          <w:rtl w:val="1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 .2</w:t>
      </w:r>
      <w:r w:rsidDel="00000000" w:rsidR="00000000" w:rsidRPr="00000000">
        <w:rPr>
          <w:b w:val="1"/>
          <w:sz w:val="28"/>
          <w:szCs w:val="28"/>
          <w:rtl w:val="1"/>
        </w:rPr>
        <w:t xml:space="preserve">אברבנאל</w:t>
      </w:r>
      <w:r w:rsidDel="00000000" w:rsidR="00000000" w:rsidRPr="00000000">
        <w:rPr>
          <w:b w:val="1"/>
          <w:sz w:val="28"/>
          <w:szCs w:val="28"/>
          <w:rtl w:val="1"/>
        </w:rPr>
        <w:t xml:space="preserve">, </w:t>
      </w:r>
      <w:r w:rsidDel="00000000" w:rsidR="00000000" w:rsidRPr="00000000">
        <w:rPr>
          <w:b w:val="1"/>
          <w:sz w:val="28"/>
          <w:szCs w:val="28"/>
          <w:rtl w:val="1"/>
        </w:rPr>
        <w:t xml:space="preserve">הקדמה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לספר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דברים</w:t>
      </w:r>
      <w:r w:rsidDel="00000000" w:rsidR="00000000" w:rsidRPr="00000000">
        <w:rPr>
          <w:b w:val="1"/>
          <w:sz w:val="28"/>
          <w:szCs w:val="28"/>
          <w:rtl w:val="1"/>
        </w:rPr>
        <w:t xml:space="preserve">     </w:t>
      </w:r>
      <w:r w:rsidDel="00000000" w:rsidR="00000000" w:rsidRPr="00000000">
        <w:rPr>
          <w:b w:val="1"/>
          <w:sz w:val="26"/>
          <w:szCs w:val="26"/>
          <w:rtl w:val="0"/>
        </w:rPr>
        <w:t xml:space="preserve">Abravanel, Introduction to Sefer Devarim     </w:t>
      </w:r>
      <w:r w:rsidDel="00000000" w:rsidR="00000000" w:rsidRPr="00000000">
        <w:rPr>
          <w:b w:val="1"/>
          <w:sz w:val="28"/>
          <w:szCs w:val="28"/>
          <w:rtl w:val="0"/>
        </w:rPr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br w:type="textWrapping"/>
      </w:r>
      <w:r w:rsidDel="00000000" w:rsidR="00000000" w:rsidRPr="00000000">
        <w:rPr>
          <w:sz w:val="24"/>
          <w:szCs w:val="24"/>
          <w:rtl w:val="1"/>
        </w:rPr>
        <w:t xml:space="preserve">שאלתי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ובקשתי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לפני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ישראל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רצוני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לומר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ספר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הדברים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</w:t>
      </w:r>
      <w:r w:rsidDel="00000000" w:rsidR="00000000" w:rsidRPr="00000000">
        <w:rPr>
          <w:sz w:val="24"/>
          <w:szCs w:val="24"/>
          <w:rtl w:val="1"/>
        </w:rPr>
        <w:t xml:space="preserve">' </w:t>
      </w:r>
      <w:r w:rsidDel="00000000" w:rsidR="00000000" w:rsidRPr="00000000">
        <w:rPr>
          <w:sz w:val="24"/>
          <w:szCs w:val="24"/>
          <w:rtl w:val="1"/>
        </w:rPr>
        <w:t xml:space="preserve">מן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השמים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והדברים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אמרם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מפי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הגבורה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כיתר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דברי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מבראשית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לעיני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ישראל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אלו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ואלו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דברי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אלהים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מבלי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בהם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שנוי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וחלוף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ספר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הזה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אמרו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מעצמו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חברו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ואמרו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כמבאר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שהבין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מהכוונה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האלהית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בביאור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המצות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וכמו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שאמר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הכתוב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הואיל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הזאת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כדרך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יודעי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דעת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ומביני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מדע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שיבארו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ספר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הדבר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הקשה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דברים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שכסה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אותן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עתיק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יומין</w:t>
      </w:r>
      <w:r w:rsidDel="00000000" w:rsidR="00000000" w:rsidRPr="00000000">
        <w:rPr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08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ואם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החזקנו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בדעת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הראשון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דברי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תומם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ה</w:t>
      </w:r>
      <w:r w:rsidDel="00000000" w:rsidR="00000000" w:rsidRPr="00000000">
        <w:rPr>
          <w:sz w:val="24"/>
          <w:szCs w:val="24"/>
          <w:rtl w:val="1"/>
        </w:rPr>
        <w:t xml:space="preserve">' </w:t>
      </w:r>
      <w:r w:rsidDel="00000000" w:rsidR="00000000" w:rsidRPr="00000000">
        <w:rPr>
          <w:sz w:val="24"/>
          <w:szCs w:val="24"/>
          <w:rtl w:val="1"/>
        </w:rPr>
        <w:t xml:space="preserve">דבר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ויקרא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ארץ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וכלם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נתנו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מרועה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אחד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ומשה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כתב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אותם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הספר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בדיו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הנה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התחייבו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לזה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</w:t>
      </w:r>
      <w:r w:rsidDel="00000000" w:rsidR="00000000" w:rsidRPr="00000000">
        <w:rPr>
          <w:sz w:val="24"/>
          <w:szCs w:val="24"/>
          <w:rtl w:val="1"/>
        </w:rPr>
        <w:t xml:space="preserve">' </w:t>
      </w:r>
      <w:r w:rsidDel="00000000" w:rsidR="00000000" w:rsidRPr="00000000">
        <w:rPr>
          <w:sz w:val="24"/>
          <w:szCs w:val="24"/>
          <w:rtl w:val="1"/>
        </w:rPr>
        <w:t xml:space="preserve">ספקות</w:t>
      </w:r>
      <w:r w:rsidDel="00000000" w:rsidR="00000000" w:rsidRPr="00000000">
        <w:rPr>
          <w:sz w:val="24"/>
          <w:szCs w:val="24"/>
          <w:rtl w:val="1"/>
        </w:rPr>
        <w:t xml:space="preserve">...</w:t>
      </w:r>
      <w:r w:rsidDel="00000000" w:rsidR="00000000" w:rsidRPr="00000000">
        <w:rPr>
          <w:sz w:val="24"/>
          <w:szCs w:val="24"/>
          <w:rtl w:val="1"/>
        </w:rPr>
        <w:t xml:space="preserve">השלישי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הדברים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דברי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ענין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מאמרם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במגלה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פרק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העיר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קללות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שבת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כ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בלשון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רבים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אמורות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ומשה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מפי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הגבורה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אמרן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וקללות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שבמשנה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בלשון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יחיד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אמורות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שאמרן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מעצמו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הקללות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שבאו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בספר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ההוא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מפי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הגבורה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הנה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הספקות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מתחייבים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לדעת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הראשון</w:t>
      </w:r>
      <w:r w:rsidDel="00000000" w:rsidR="00000000" w:rsidRPr="00000000">
        <w:rPr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09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ואם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החזקנו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בדעת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שספר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הדברים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אדונינו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חברו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כמבאר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המצות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ומגיד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מראשית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אחרית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הדברים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יקרו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בניהם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אחריהם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הנה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יתחייבו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לזה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ארבעה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ספקות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האחד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ספר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כתבו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מעצמו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בתוך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ספרי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האלהים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ויהיה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תחלת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הדברים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מפי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באמרו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הדברים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וגו</w:t>
      </w:r>
      <w:r w:rsidDel="00000000" w:rsidR="00000000" w:rsidRPr="00000000">
        <w:rPr>
          <w:sz w:val="24"/>
          <w:szCs w:val="24"/>
          <w:rtl w:val="1"/>
        </w:rPr>
        <w:t xml:space="preserve">'. </w:t>
      </w:r>
      <w:r w:rsidDel="00000000" w:rsidR="00000000" w:rsidRPr="00000000">
        <w:rPr>
          <w:sz w:val="24"/>
          <w:szCs w:val="24"/>
          <w:rtl w:val="1"/>
        </w:rPr>
        <w:t xml:space="preserve">ומוילך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הסוף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כן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ובאמצעותם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יבאו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דברים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שאינם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מפי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הגבורה</w:t>
      </w:r>
      <w:r w:rsidDel="00000000" w:rsidR="00000000" w:rsidRPr="00000000">
        <w:rPr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ודבר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זה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זר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מאד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.. </w:t>
      </w:r>
      <w:r w:rsidDel="00000000" w:rsidR="00000000" w:rsidRPr="00000000">
        <w:rPr>
          <w:sz w:val="24"/>
          <w:szCs w:val="24"/>
          <w:rtl w:val="1"/>
        </w:rPr>
        <w:t xml:space="preserve">השלישי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הספר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הזה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אמרו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מעצמו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מצות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רבות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נזכרו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עדיין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כפי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הנראה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מחודשות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והיא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חדשה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ביאור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אליה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הרביעי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הדברים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דברי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בספר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הזה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אם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אמרו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רז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בפרק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חלק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האומר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השמים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חוץ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מפסוק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אחד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שאמרו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מעצמו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בכלל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</w:t>
      </w:r>
      <w:r w:rsidDel="00000000" w:rsidR="00000000" w:rsidRPr="00000000">
        <w:rPr>
          <w:sz w:val="24"/>
          <w:szCs w:val="24"/>
          <w:rtl w:val="1"/>
        </w:rPr>
        <w:t xml:space="preserve">' </w:t>
      </w:r>
      <w:r w:rsidDel="00000000" w:rsidR="00000000" w:rsidRPr="00000000">
        <w:rPr>
          <w:sz w:val="24"/>
          <w:szCs w:val="24"/>
          <w:rtl w:val="1"/>
        </w:rPr>
        <w:t xml:space="preserve">בזה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ואין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ספק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שכח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מאמרם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לעיני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ישראל</w:t>
      </w:r>
      <w:r w:rsidDel="00000000" w:rsidR="00000000" w:rsidRPr="00000000">
        <w:rPr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0A">
      <w:pPr>
        <w:bidi w:val="1"/>
        <w:jc w:val="both"/>
        <w:rPr/>
      </w:pPr>
      <w:r w:rsidDel="00000000" w:rsidR="00000000" w:rsidRPr="00000000">
        <w:rPr>
          <w:sz w:val="24"/>
          <w:szCs w:val="24"/>
          <w:rtl w:val="1"/>
        </w:rPr>
        <w:t xml:space="preserve">והנראה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בזה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דברי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הרב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הקדוש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הרמב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בפתיחת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פירושו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ספר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שכוון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אדונינו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כוונות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הכוונה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הראשונה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להוכיח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ולהזכיר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עונותיהם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ימרוהו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במדבר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וכמה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התנהג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עמהם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במדת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הרחמים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והכונה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השנית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היתה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לומר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לישראל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המצות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המחודשות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נכתבו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בספרים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הקודמים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וכבר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נאמרו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בהר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סיני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בשנה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הראשונה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צוה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לישראל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עליהם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עדנה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והכונה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השלישית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להגיד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הארץ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המצות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נכתבו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בספרים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הראשונים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ועשרת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הדברים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להוסיף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במקצתן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ביאור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ואם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להזהיר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ישראל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ברב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אזהרות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להפחידן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אע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פ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בהם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ביאור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ובעבור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שרובם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במעמד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סיני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כשנתנו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המצות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הוצרך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להשמיעם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אליהם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עתה</w:t>
      </w:r>
      <w:r w:rsidDel="00000000" w:rsidR="00000000" w:rsidRPr="00000000">
        <w:rPr>
          <w:sz w:val="24"/>
          <w:szCs w:val="24"/>
          <w:rtl w:val="1"/>
        </w:rPr>
        <w:t xml:space="preserve">:...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ובכמה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מהמצות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נהגו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בהם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בואם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שהם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חובת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קרקע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כשמטת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קרקע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וערלה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וזולתם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נכתבו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בספרים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הראשונים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וקריאת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דרור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לעבדים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ביובל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שהם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חובת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הגוף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נהגו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לארץ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ונכתבו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בספר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ויקרא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והסבה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השנית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שזכר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הרב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והיא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אמרו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מפני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שאינם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תדירות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גם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בלתי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צודקת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לפי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שהיובל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והשמיטה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וזולתם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הרבה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שאינן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תדירות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ונזכרו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בספרים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הראשונים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ומן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המצוות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החדשות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לדעתו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שבאו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בספר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הנה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רבות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מהם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תדירות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כמו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יבא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עמוני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תתעב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אדומי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וכי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מאומה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קדשה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וזולתם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נזכרו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הראשונות</w:t>
      </w:r>
      <w:r w:rsidDel="00000000" w:rsidR="00000000" w:rsidRPr="00000000">
        <w:rPr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0C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...</w:t>
      </w:r>
      <w:r w:rsidDel="00000000" w:rsidR="00000000" w:rsidRPr="00000000">
        <w:rPr>
          <w:sz w:val="24"/>
          <w:szCs w:val="24"/>
          <w:rtl w:val="1"/>
        </w:rPr>
        <w:t xml:space="preserve">ותמהתי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מחכמת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מפרשי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העירו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ואיך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יעלה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יודע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דעת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בהזדמן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שכחה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בכונה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מאתו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ובביאור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הפרשיות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אעיר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אחד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ואחד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מהספקות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במקומו</w:t>
      </w:r>
      <w:r w:rsidDel="00000000" w:rsidR="00000000" w:rsidRPr="00000000">
        <w:rPr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0D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 .3</w:t>
      </w:r>
      <w:r w:rsidDel="00000000" w:rsidR="00000000" w:rsidRPr="00000000">
        <w:rPr>
          <w:b w:val="1"/>
          <w:sz w:val="28"/>
          <w:szCs w:val="28"/>
          <w:rtl w:val="1"/>
        </w:rPr>
        <w:t xml:space="preserve">תלמוד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בבלי</w:t>
      </w:r>
      <w:r w:rsidDel="00000000" w:rsidR="00000000" w:rsidRPr="00000000">
        <w:rPr>
          <w:b w:val="1"/>
          <w:sz w:val="28"/>
          <w:szCs w:val="28"/>
          <w:rtl w:val="1"/>
        </w:rPr>
        <w:t xml:space="preserve">, </w:t>
      </w:r>
      <w:r w:rsidDel="00000000" w:rsidR="00000000" w:rsidRPr="00000000">
        <w:rPr>
          <w:b w:val="1"/>
          <w:sz w:val="28"/>
          <w:szCs w:val="28"/>
          <w:rtl w:val="1"/>
        </w:rPr>
        <w:t xml:space="preserve">מסכת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מגילה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דף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לא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עמוד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ב</w:t>
      </w:r>
      <w:r w:rsidDel="00000000" w:rsidR="00000000" w:rsidRPr="00000000">
        <w:rPr>
          <w:b w:val="1"/>
          <w:sz w:val="26"/>
          <w:szCs w:val="26"/>
          <w:rtl w:val="0"/>
        </w:rPr>
        <w:t xml:space="preserve"> Megillah 31b     </w:t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u w:val="single"/>
          <w:rtl w:val="1"/>
        </w:rPr>
        <w:br w:type="textWrapping"/>
      </w:r>
      <w:r w:rsidDel="00000000" w:rsidR="00000000" w:rsidRPr="00000000">
        <w:rPr>
          <w:sz w:val="24"/>
          <w:szCs w:val="24"/>
          <w:u w:val="single"/>
          <w:rtl w:val="1"/>
        </w:rPr>
        <w:t xml:space="preserve">אמר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אביי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: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לא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שנו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אלא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בקללות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שבתורת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כהנים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,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אבל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קללות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שבמשנה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תורה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-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פוסק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.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מאי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טעמא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?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הללו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-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בלשון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רבים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אמורות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,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ומשה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מפי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הגבורה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אמרן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.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והללו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-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בלשון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יחיד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אמורות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,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ומשה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מפי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עצמו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אמרן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            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תוספות</w:t>
      </w:r>
      <w:r w:rsidDel="00000000" w:rsidR="00000000" w:rsidRPr="00000000">
        <w:rPr>
          <w:b w:val="1"/>
          <w:sz w:val="28"/>
          <w:szCs w:val="28"/>
          <w:rtl w:val="1"/>
        </w:rPr>
        <w:t xml:space="preserve">, </w:t>
      </w:r>
      <w:r w:rsidDel="00000000" w:rsidR="00000000" w:rsidRPr="00000000">
        <w:rPr>
          <w:b w:val="1"/>
          <w:sz w:val="28"/>
          <w:szCs w:val="28"/>
          <w:rtl w:val="1"/>
        </w:rPr>
        <w:t xml:space="preserve">מסכת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מגילה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דף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לא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עמוד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ב</w:t>
      </w:r>
      <w:r w:rsidDel="00000000" w:rsidR="00000000" w:rsidRPr="00000000">
        <w:rPr>
          <w:b w:val="1"/>
          <w:sz w:val="26"/>
          <w:szCs w:val="26"/>
          <w:rtl w:val="0"/>
        </w:rPr>
        <w:t xml:space="preserve"> Tosafot, Megillah 31b </w:t>
      </w:r>
      <w:r w:rsidDel="00000000" w:rsidR="00000000" w:rsidRPr="00000000">
        <w:rPr>
          <w:b w:val="1"/>
          <w:sz w:val="28"/>
          <w:szCs w:val="28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rPr>
          <w:b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                     </w:t>
      </w:r>
      <w:r w:rsidDel="00000000" w:rsidR="00000000" w:rsidRPr="00000000">
        <w:rPr>
          <w:rFonts w:ascii="RashiD" w:cs="RashiD" w:eastAsia="RashiD" w:hAnsi="RashiD"/>
          <w:i w:val="1"/>
          <w:sz w:val="24"/>
          <w:szCs w:val="24"/>
          <w:rtl w:val="1"/>
        </w:rPr>
        <w:t xml:space="preserve">משה</w:t>
      </w:r>
      <w:r w:rsidDel="00000000" w:rsidR="00000000" w:rsidRPr="00000000">
        <w:rPr>
          <w:rFonts w:ascii="RashiD" w:cs="RashiD" w:eastAsia="RashiD" w:hAnsi="RashiD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RashiD" w:cs="RashiD" w:eastAsia="RashiD" w:hAnsi="RashiD"/>
          <w:i w:val="1"/>
          <w:sz w:val="24"/>
          <w:szCs w:val="24"/>
          <w:rtl w:val="1"/>
        </w:rPr>
        <w:t xml:space="preserve">מעצמו</w:t>
      </w:r>
      <w:r w:rsidDel="00000000" w:rsidR="00000000" w:rsidRPr="00000000">
        <w:rPr>
          <w:rFonts w:ascii="RashiD" w:cs="RashiD" w:eastAsia="RashiD" w:hAnsi="RashiD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RashiD" w:cs="RashiD" w:eastAsia="RashiD" w:hAnsi="RashiD"/>
          <w:i w:val="1"/>
          <w:sz w:val="24"/>
          <w:szCs w:val="24"/>
          <w:rtl w:val="1"/>
        </w:rPr>
        <w:t xml:space="preserve">אמרם</w:t>
      </w:r>
      <w:r w:rsidDel="00000000" w:rsidR="00000000" w:rsidRPr="00000000">
        <w:rPr>
          <w:rFonts w:ascii="RashiD" w:cs="RashiD" w:eastAsia="RashiD" w:hAnsi="RashiD"/>
          <w:i w:val="1"/>
          <w:sz w:val="24"/>
          <w:szCs w:val="24"/>
          <w:rtl w:val="1"/>
        </w:rPr>
        <w:t xml:space="preserve">- </w:t>
      </w:r>
      <w:r w:rsidDel="00000000" w:rsidR="00000000" w:rsidRPr="00000000">
        <w:rPr>
          <w:rFonts w:ascii="RashiD" w:cs="RashiD" w:eastAsia="RashiD" w:hAnsi="RashiD"/>
          <w:i w:val="1"/>
          <w:sz w:val="24"/>
          <w:szCs w:val="24"/>
          <w:u w:val="single"/>
          <w:rtl w:val="1"/>
        </w:rPr>
        <w:t xml:space="preserve">וברוח</w:t>
      </w:r>
      <w:r w:rsidDel="00000000" w:rsidR="00000000" w:rsidRPr="00000000">
        <w:rPr>
          <w:rFonts w:ascii="RashiD" w:cs="RashiD" w:eastAsia="RashiD" w:hAnsi="RashiD"/>
          <w:i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RashiD" w:cs="RashiD" w:eastAsia="RashiD" w:hAnsi="RashiD"/>
          <w:i w:val="1"/>
          <w:sz w:val="24"/>
          <w:szCs w:val="24"/>
          <w:u w:val="single"/>
          <w:rtl w:val="1"/>
        </w:rPr>
        <w:t xml:space="preserve">הקדש</w:t>
      </w:r>
      <w:r w:rsidDel="00000000" w:rsidR="00000000" w:rsidRPr="00000000">
        <w:rPr>
          <w:rFonts w:ascii="RashiD" w:cs="RashiD" w:eastAsia="RashiD" w:hAnsi="RashiD"/>
          <w:i w:val="1"/>
          <w:sz w:val="24"/>
          <w:szCs w:val="24"/>
          <w:u w:val="single"/>
          <w:rtl w:val="1"/>
        </w:rPr>
        <w:br w:type="textWrapping"/>
      </w:r>
      <w:r w:rsidDel="00000000" w:rsidR="00000000" w:rsidRPr="00000000">
        <w:rPr>
          <w:i w:val="1"/>
          <w:sz w:val="24"/>
          <w:szCs w:val="24"/>
          <w:rtl w:val="0"/>
        </w:rPr>
        <w:t xml:space="preserve">Moshe stated it himself</w:t>
      </w:r>
      <w:r w:rsidDel="00000000" w:rsidR="00000000" w:rsidRPr="00000000">
        <w:rPr>
          <w:sz w:val="24"/>
          <w:szCs w:val="24"/>
          <w:rtl w:val="0"/>
        </w:rPr>
        <w:t xml:space="preserve">-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with divine inspiration</w:t>
      </w: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</w:t>
        <w:br w:type="textWrapping"/>
      </w:r>
      <w:r w:rsidDel="00000000" w:rsidR="00000000" w:rsidRPr="00000000">
        <w:rPr>
          <w:b w:val="1"/>
          <w:rtl w:val="0"/>
        </w:rPr>
        <w:br w:type="textWrapping"/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.4 </w:t>
      </w:r>
      <w:r w:rsidDel="00000000" w:rsidR="00000000" w:rsidRPr="00000000">
        <w:rPr>
          <w:b w:val="1"/>
          <w:sz w:val="28"/>
          <w:szCs w:val="28"/>
          <w:rtl w:val="1"/>
        </w:rPr>
        <w:t xml:space="preserve">תלמוד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בבלי</w:t>
      </w:r>
      <w:r w:rsidDel="00000000" w:rsidR="00000000" w:rsidRPr="00000000">
        <w:rPr>
          <w:b w:val="1"/>
          <w:sz w:val="28"/>
          <w:szCs w:val="28"/>
          <w:rtl w:val="1"/>
        </w:rPr>
        <w:t xml:space="preserve">, </w:t>
      </w:r>
      <w:r w:rsidDel="00000000" w:rsidR="00000000" w:rsidRPr="00000000">
        <w:rPr>
          <w:b w:val="1"/>
          <w:sz w:val="28"/>
          <w:szCs w:val="28"/>
          <w:rtl w:val="1"/>
        </w:rPr>
        <w:t xml:space="preserve">מסכת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בבא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בתרא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דף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פח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עמוד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ב</w:t>
      </w:r>
      <w:r w:rsidDel="00000000" w:rsidR="00000000" w:rsidRPr="00000000">
        <w:rPr>
          <w:b w:val="1"/>
          <w:sz w:val="26"/>
          <w:szCs w:val="26"/>
          <w:rtl w:val="0"/>
        </w:rPr>
        <w:t xml:space="preserve"> Bava Batra 88b</w:t>
      </w:r>
      <w:r w:rsidDel="00000000" w:rsidR="00000000" w:rsidRPr="00000000">
        <w:rPr>
          <w:b w:val="1"/>
          <w:sz w:val="24"/>
          <w:szCs w:val="24"/>
          <w:rtl w:val="0"/>
        </w:rPr>
        <w:t xml:space="preserve">     </w:t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br w:type="textWrapping"/>
      </w:r>
      <w:r w:rsidDel="00000000" w:rsidR="00000000" w:rsidRPr="00000000">
        <w:rPr>
          <w:sz w:val="24"/>
          <w:szCs w:val="24"/>
          <w:rtl w:val="1"/>
        </w:rPr>
        <w:t xml:space="preserve">ואמר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רבי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לוי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sz w:val="24"/>
          <w:szCs w:val="24"/>
          <w:rtl w:val="1"/>
        </w:rPr>
        <w:t xml:space="preserve">בוא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וראה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כמדת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הקב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מדת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ודם</w:t>
      </w:r>
      <w:r w:rsidDel="00000000" w:rsidR="00000000" w:rsidRPr="00000000">
        <w:rPr>
          <w:sz w:val="24"/>
          <w:szCs w:val="24"/>
          <w:rtl w:val="1"/>
        </w:rPr>
        <w:t xml:space="preserve">; </w:t>
      </w:r>
      <w:r w:rsidDel="00000000" w:rsidR="00000000" w:rsidRPr="00000000">
        <w:rPr>
          <w:sz w:val="24"/>
          <w:szCs w:val="24"/>
          <w:rtl w:val="1"/>
        </w:rPr>
        <w:t xml:space="preserve">הקב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ברך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ישראל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בעשרים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ושתים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וקללן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בשמנה</w:t>
      </w:r>
      <w:r w:rsidDel="00000000" w:rsidR="00000000" w:rsidRPr="00000000">
        <w:rPr>
          <w:sz w:val="24"/>
          <w:szCs w:val="24"/>
          <w:rtl w:val="1"/>
        </w:rPr>
        <w:t xml:space="preserve">… </w:t>
      </w:r>
      <w:r w:rsidDel="00000000" w:rsidR="00000000" w:rsidRPr="00000000">
        <w:rPr>
          <w:sz w:val="24"/>
          <w:szCs w:val="24"/>
          <w:rtl w:val="1"/>
        </w:rPr>
        <w:t xml:space="preserve">ואילו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רבינו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ברכן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בשמונה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וקללן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בעשרים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ושתים</w:t>
      </w:r>
      <w:r w:rsidDel="00000000" w:rsidR="00000000" w:rsidRPr="00000000">
        <w:rPr>
          <w:b w:val="1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1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 .5</w:t>
      </w:r>
      <w:r w:rsidDel="00000000" w:rsidR="00000000" w:rsidRPr="00000000">
        <w:rPr>
          <w:b w:val="1"/>
          <w:sz w:val="28"/>
          <w:szCs w:val="28"/>
          <w:rtl w:val="1"/>
        </w:rPr>
        <w:t xml:space="preserve">זוהר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כרך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ג</w:t>
      </w:r>
      <w:r w:rsidDel="00000000" w:rsidR="00000000" w:rsidRPr="00000000">
        <w:rPr>
          <w:b w:val="1"/>
          <w:sz w:val="28"/>
          <w:szCs w:val="28"/>
          <w:rtl w:val="1"/>
        </w:rPr>
        <w:t xml:space="preserve"> (</w:t>
      </w:r>
      <w:r w:rsidDel="00000000" w:rsidR="00000000" w:rsidRPr="00000000">
        <w:rPr>
          <w:b w:val="1"/>
          <w:sz w:val="28"/>
          <w:szCs w:val="28"/>
          <w:rtl w:val="1"/>
        </w:rPr>
        <w:t xml:space="preserve">דברים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פרשת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ואתחנן</w:t>
      </w:r>
      <w:r w:rsidDel="00000000" w:rsidR="00000000" w:rsidRPr="00000000">
        <w:rPr>
          <w:b w:val="1"/>
          <w:sz w:val="26"/>
          <w:szCs w:val="26"/>
          <w:rtl w:val="0"/>
        </w:rPr>
        <w:t xml:space="preserve"> Zohar, Parshat V’etchanan     </w:t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br w:type="textWrapping"/>
      </w:r>
      <w:r w:rsidDel="00000000" w:rsidR="00000000" w:rsidRPr="00000000">
        <w:rPr>
          <w:sz w:val="24"/>
          <w:szCs w:val="24"/>
          <w:rtl w:val="1"/>
        </w:rPr>
        <w:t xml:space="preserve">האי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דאקרי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מפי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עצמו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אמרן</w:t>
      </w:r>
      <w:r w:rsidDel="00000000" w:rsidR="00000000" w:rsidRPr="00000000">
        <w:rPr>
          <w:b w:val="1"/>
          <w:rtl w:val="0"/>
        </w:rPr>
        <w:t xml:space="preserve">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</w:t>
      </w:r>
      <w:r w:rsidDel="00000000" w:rsidR="00000000" w:rsidRPr="00000000">
        <w:rPr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6</w:t>
      </w:r>
      <w:r w:rsidDel="00000000" w:rsidR="00000000" w:rsidRPr="00000000">
        <w:rPr>
          <w:b w:val="1"/>
          <w:sz w:val="28"/>
          <w:szCs w:val="28"/>
          <w:rtl w:val="1"/>
        </w:rPr>
        <w:t xml:space="preserve">אור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החיים</w:t>
      </w:r>
      <w:r w:rsidDel="00000000" w:rsidR="00000000" w:rsidRPr="00000000">
        <w:rPr>
          <w:b w:val="1"/>
          <w:sz w:val="28"/>
          <w:szCs w:val="28"/>
          <w:rtl w:val="1"/>
        </w:rPr>
        <w:t xml:space="preserve">, </w:t>
      </w:r>
      <w:r w:rsidDel="00000000" w:rsidR="00000000" w:rsidRPr="00000000">
        <w:rPr>
          <w:b w:val="1"/>
          <w:sz w:val="28"/>
          <w:szCs w:val="28"/>
          <w:rtl w:val="1"/>
        </w:rPr>
        <w:t xml:space="preserve">דברים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א</w:t>
      </w:r>
      <w:r w:rsidDel="00000000" w:rsidR="00000000" w:rsidRPr="00000000">
        <w:rPr>
          <w:b w:val="1"/>
          <w:sz w:val="28"/>
          <w:szCs w:val="28"/>
          <w:rtl w:val="1"/>
        </w:rPr>
        <w:t xml:space="preserve">:</w:t>
      </w:r>
      <w:r w:rsidDel="00000000" w:rsidR="00000000" w:rsidRPr="00000000">
        <w:rPr>
          <w:b w:val="1"/>
          <w:sz w:val="28"/>
          <w:szCs w:val="28"/>
          <w:rtl w:val="1"/>
        </w:rPr>
        <w:t xml:space="preserve">א</w:t>
      </w:r>
      <w:r w:rsidDel="00000000" w:rsidR="00000000" w:rsidRPr="00000000">
        <w:rPr>
          <w:b w:val="1"/>
          <w:sz w:val="28"/>
          <w:szCs w:val="28"/>
          <w:rtl w:val="1"/>
        </w:rPr>
        <w:t xml:space="preserve">  </w:t>
      </w:r>
      <w:r w:rsidDel="00000000" w:rsidR="00000000" w:rsidRPr="00000000">
        <w:rPr>
          <w:b w:val="1"/>
          <w:sz w:val="26"/>
          <w:szCs w:val="26"/>
          <w:rtl w:val="0"/>
        </w:rPr>
        <w:t xml:space="preserve">Ohr ha-Chayim, Devarim 1:1   </w:t>
      </w:r>
      <w:r w:rsidDel="00000000" w:rsidR="00000000" w:rsidRPr="00000000">
        <w:rPr>
          <w:b w:val="1"/>
          <w:sz w:val="28"/>
          <w:szCs w:val="28"/>
          <w:rtl w:val="0"/>
        </w:rPr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br w:type="textWrapping"/>
        <w:t xml:space="preserve">(</w:t>
      </w:r>
      <w:r w:rsidDel="00000000" w:rsidR="00000000" w:rsidRPr="00000000">
        <w:rPr>
          <w:sz w:val="24"/>
          <w:szCs w:val="24"/>
          <w:rtl w:val="1"/>
        </w:rPr>
        <w:t xml:space="preserve">א</w:t>
      </w:r>
      <w:r w:rsidDel="00000000" w:rsidR="00000000" w:rsidRPr="00000000">
        <w:rPr>
          <w:sz w:val="24"/>
          <w:szCs w:val="24"/>
          <w:rtl w:val="1"/>
        </w:rPr>
        <w:t xml:space="preserve">) </w:t>
      </w:r>
      <w:r w:rsidDel="00000000" w:rsidR="00000000" w:rsidRPr="00000000">
        <w:rPr>
          <w:sz w:val="24"/>
          <w:szCs w:val="24"/>
          <w:rtl w:val="1"/>
        </w:rPr>
        <w:t xml:space="preserve">אלה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הדברים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וגו</w:t>
      </w:r>
      <w:r w:rsidDel="00000000" w:rsidR="00000000" w:rsidRPr="00000000">
        <w:rPr>
          <w:sz w:val="24"/>
          <w:szCs w:val="24"/>
          <w:rtl w:val="1"/>
        </w:rPr>
        <w:t xml:space="preserve">'. </w:t>
      </w:r>
      <w:r w:rsidDel="00000000" w:rsidR="00000000" w:rsidRPr="00000000">
        <w:rPr>
          <w:sz w:val="24"/>
          <w:szCs w:val="24"/>
          <w:rtl w:val="1"/>
        </w:rPr>
        <w:t xml:space="preserve">אלה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מיעט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הקודם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פי</w:t>
      </w:r>
      <w:r w:rsidDel="00000000" w:rsidR="00000000" w:rsidRPr="00000000">
        <w:rPr>
          <w:sz w:val="24"/>
          <w:szCs w:val="24"/>
          <w:rtl w:val="1"/>
        </w:rPr>
        <w:t xml:space="preserve">' </w:t>
      </w:r>
      <w:r w:rsidDel="00000000" w:rsidR="00000000" w:rsidRPr="00000000">
        <w:rPr>
          <w:sz w:val="24"/>
          <w:szCs w:val="24"/>
          <w:rtl w:val="1"/>
        </w:rPr>
        <w:t xml:space="preserve">לפי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שאמר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שהם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דברי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עצמו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שכל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הספר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תוכחות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מוסר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ממשה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לעובר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</w:t>
      </w:r>
      <w:r w:rsidDel="00000000" w:rsidR="00000000" w:rsidRPr="00000000">
        <w:rPr>
          <w:sz w:val="24"/>
          <w:szCs w:val="24"/>
          <w:rtl w:val="1"/>
        </w:rPr>
        <w:t xml:space="preserve">', </w:t>
      </w:r>
      <w:r w:rsidDel="00000000" w:rsidR="00000000" w:rsidRPr="00000000">
        <w:rPr>
          <w:sz w:val="24"/>
          <w:szCs w:val="24"/>
          <w:rtl w:val="1"/>
        </w:rPr>
        <w:t xml:space="preserve">ואמרו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ל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מגילה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</w:t>
      </w:r>
      <w:r w:rsidDel="00000000" w:rsidR="00000000" w:rsidRPr="00000000">
        <w:rPr>
          <w:sz w:val="24"/>
          <w:szCs w:val="24"/>
          <w:rtl w:val="1"/>
        </w:rPr>
        <w:t xml:space="preserve">) </w:t>
      </w:r>
      <w:r w:rsidDel="00000000" w:rsidR="00000000" w:rsidRPr="00000000">
        <w:rPr>
          <w:sz w:val="24"/>
          <w:szCs w:val="24"/>
          <w:rtl w:val="1"/>
        </w:rPr>
        <w:t xml:space="preserve">קללות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שבמשנה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מפי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עצמו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אמרן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ואפילו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שחזר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ופירש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מאמרי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</w:t>
      </w:r>
      <w:r w:rsidDel="00000000" w:rsidR="00000000" w:rsidRPr="00000000">
        <w:rPr>
          <w:sz w:val="24"/>
          <w:szCs w:val="24"/>
          <w:rtl w:val="1"/>
        </w:rPr>
        <w:t xml:space="preserve">' </w:t>
      </w:r>
      <w:r w:rsidDel="00000000" w:rsidR="00000000" w:rsidRPr="00000000">
        <w:rPr>
          <w:sz w:val="24"/>
          <w:szCs w:val="24"/>
          <w:rtl w:val="1"/>
        </w:rPr>
        <w:t xml:space="preserve">הקודמין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נצטוה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עשות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מעצמו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חזר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הדברים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וחש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הכתוב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לומר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כדרך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שאמר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מפי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עצמו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דברים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כאלה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כמו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במאמרים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הקודמין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אמר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מפי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עצמו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איזה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דבר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לזה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אמר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אלה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הדברים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פי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'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אלה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לבד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הם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הדברים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אשר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דבר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משה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דברי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עצמו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אבל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כל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הקודם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בד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'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חומשים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לא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אמר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אפילו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אות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אחת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מעצמו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אלא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הדברים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שיצאו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מפי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המצוה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כצורתן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בלא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שום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שינוי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אפילו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אות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אחת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יתירה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או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חסרה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 .7 </w:t>
      </w:r>
      <w:r w:rsidDel="00000000" w:rsidR="00000000" w:rsidRPr="00000000">
        <w:rPr>
          <w:b w:val="1"/>
          <w:sz w:val="28"/>
          <w:szCs w:val="28"/>
          <w:rtl w:val="1"/>
        </w:rPr>
        <w:t xml:space="preserve">מהר</w:t>
      </w:r>
      <w:r w:rsidDel="00000000" w:rsidR="00000000" w:rsidRPr="00000000">
        <w:rPr>
          <w:b w:val="1"/>
          <w:sz w:val="28"/>
          <w:szCs w:val="28"/>
          <w:rtl w:val="1"/>
        </w:rPr>
        <w:t xml:space="preserve">”</w:t>
      </w:r>
      <w:r w:rsidDel="00000000" w:rsidR="00000000" w:rsidRPr="00000000">
        <w:rPr>
          <w:b w:val="1"/>
          <w:sz w:val="28"/>
          <w:szCs w:val="28"/>
          <w:rtl w:val="1"/>
        </w:rPr>
        <w:t xml:space="preserve">ל</w:t>
      </w:r>
      <w:r w:rsidDel="00000000" w:rsidR="00000000" w:rsidRPr="00000000">
        <w:rPr>
          <w:b w:val="1"/>
          <w:sz w:val="28"/>
          <w:szCs w:val="28"/>
          <w:rtl w:val="1"/>
        </w:rPr>
        <w:t xml:space="preserve">, </w:t>
      </w:r>
      <w:r w:rsidDel="00000000" w:rsidR="00000000" w:rsidRPr="00000000">
        <w:rPr>
          <w:b w:val="1"/>
          <w:sz w:val="28"/>
          <w:szCs w:val="28"/>
          <w:rtl w:val="1"/>
        </w:rPr>
        <w:t xml:space="preserve">ספר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תפארת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ישראל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פרק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מג</w:t>
      </w:r>
      <w:r w:rsidDel="00000000" w:rsidR="00000000" w:rsidRPr="00000000">
        <w:rPr>
          <w:b w:val="1"/>
          <w:sz w:val="26"/>
          <w:szCs w:val="26"/>
          <w:rtl w:val="0"/>
        </w:rPr>
        <w:t xml:space="preserve"> Maharal, Tiferet Yisrael, Ch. 43</w:t>
      </w:r>
      <w:r w:rsidDel="00000000" w:rsidR="00000000" w:rsidRPr="00000000">
        <w:rPr>
          <w:b w:val="1"/>
          <w:sz w:val="28"/>
          <w:szCs w:val="28"/>
          <w:rtl w:val="0"/>
        </w:rPr>
        <w:t xml:space="preserve">     </w:t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u w:val="single"/>
          <w:rtl w:val="1"/>
        </w:rPr>
        <w:br w:type="textWrapping"/>
      </w:r>
      <w:r w:rsidDel="00000000" w:rsidR="00000000" w:rsidRPr="00000000">
        <w:rPr>
          <w:sz w:val="24"/>
          <w:szCs w:val="24"/>
          <w:u w:val="single"/>
          <w:rtl w:val="1"/>
        </w:rPr>
        <w:t xml:space="preserve">ואין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הכונה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בזה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חס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ושלום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שיאמר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משה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דבר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מפי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עצמו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,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אף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אות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אחת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.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רק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ההפרש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שיש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בין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המשנה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התורה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,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ובין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שאר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התורה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.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כי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התורה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שנתן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השם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יתברך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לישראל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,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יש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בה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שתי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בחינות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;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הבחינה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האחת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,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מצד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השם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יתברך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,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אשר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הוא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נותן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התורה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.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הבחינה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השנית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,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מצד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ישראל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,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המקבלים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את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התורה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.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ואם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היה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אחד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נותן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לחבירו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דבר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,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והם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שוים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במדרגה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,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אין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כאן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רק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בחינה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אחת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,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כי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שניהם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שוים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במעלה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.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אבל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כאשר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השם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יתברך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,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שהוא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על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הכל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,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נתן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התורה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לישראל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,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והם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בארץ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,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אי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אפשר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שלא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יהיה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כאן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בחינה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מיוחדת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מצד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הנותן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,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ובחינה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אחרת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מצד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המקבל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.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 </w:t>
      </w:r>
      <w:r w:rsidDel="00000000" w:rsidR="00000000" w:rsidRPr="00000000">
        <w:rPr>
          <w:sz w:val="24"/>
          <w:szCs w:val="24"/>
          <w:rtl w:val="1"/>
        </w:rPr>
        <w:t xml:space="preserve">ולפיכך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כולה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חוץ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ממשנה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תורה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שהוא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החומש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האחרון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ראוי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שימצא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הבחינה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מצד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הנותן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כי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המקבל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מקבל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בסוף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כאשר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גמר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הנותן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גזרת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דבריו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ואז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המקבל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מקבל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ולפיכך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נקרא</w:t>
      </w:r>
      <w:r w:rsidDel="00000000" w:rsidR="00000000" w:rsidRPr="00000000">
        <w:rPr>
          <w:sz w:val="24"/>
          <w:szCs w:val="24"/>
          <w:rtl w:val="1"/>
        </w:rPr>
        <w:t xml:space="preserve"> "</w:t>
      </w:r>
      <w:r w:rsidDel="00000000" w:rsidR="00000000" w:rsidRPr="00000000">
        <w:rPr>
          <w:sz w:val="24"/>
          <w:szCs w:val="24"/>
          <w:rtl w:val="1"/>
        </w:rPr>
        <w:t xml:space="preserve">משנה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תורה</w:t>
      </w:r>
      <w:r w:rsidDel="00000000" w:rsidR="00000000" w:rsidRPr="00000000">
        <w:rPr>
          <w:sz w:val="24"/>
          <w:szCs w:val="24"/>
          <w:rtl w:val="1"/>
        </w:rPr>
        <w:t xml:space="preserve">", </w:t>
      </w:r>
      <w:r w:rsidDel="00000000" w:rsidR="00000000" w:rsidRPr="00000000">
        <w:rPr>
          <w:sz w:val="24"/>
          <w:szCs w:val="24"/>
          <w:rtl w:val="1"/>
        </w:rPr>
        <w:t xml:space="preserve">כאילו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מיוחד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שהוא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מצד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המקבל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ויש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בחינה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מצד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המקבל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דכתיב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במשנה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תורה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דברים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</w:t>
      </w:r>
      <w:r w:rsidDel="00000000" w:rsidR="00000000" w:rsidRPr="00000000">
        <w:rPr>
          <w:sz w:val="24"/>
          <w:szCs w:val="24"/>
          <w:rtl w:val="1"/>
        </w:rPr>
        <w:t xml:space="preserve">) "</w:t>
      </w:r>
      <w:r w:rsidDel="00000000" w:rsidR="00000000" w:rsidRPr="00000000">
        <w:rPr>
          <w:sz w:val="24"/>
          <w:szCs w:val="24"/>
          <w:rtl w:val="1"/>
        </w:rPr>
        <w:t xml:space="preserve">הואל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הזאת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u w:val="single"/>
          <w:rtl w:val="1"/>
        </w:rPr>
        <w:t xml:space="preserve">",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כי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המקבל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הוא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צריך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יותר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פירוש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וביאור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.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וזהו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ההפרש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אשר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יש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בין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התורה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ובין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משנה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תורה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.   </w:t>
      </w:r>
    </w:p>
    <w:p w:rsidR="00000000" w:rsidDel="00000000" w:rsidP="00000000" w:rsidRDefault="00000000" w:rsidRPr="00000000" w14:paraId="00000015">
      <w:pPr>
        <w:bidi w:val="1"/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 </w:t>
      </w:r>
      <w:r w:rsidDel="00000000" w:rsidR="00000000" w:rsidRPr="00000000">
        <w:rPr>
          <w:sz w:val="24"/>
          <w:szCs w:val="24"/>
          <w:rtl w:val="1"/>
        </w:rPr>
        <w:t xml:space="preserve">ולפיכך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דבור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שנאמר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בתורה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אף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שמשה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מדבר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אותו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מכל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מקום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כאילו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יתברך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מדבר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כי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התורה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שכך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גזר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וכך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צוה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יתברך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יתברך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נותן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הדבור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בפיו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וכמו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שכתבו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בעשרה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דברות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שמות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יט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יט</w:t>
      </w:r>
      <w:r w:rsidDel="00000000" w:rsidR="00000000" w:rsidRPr="00000000">
        <w:rPr>
          <w:sz w:val="24"/>
          <w:szCs w:val="24"/>
          <w:rtl w:val="1"/>
        </w:rPr>
        <w:t xml:space="preserve">) "</w:t>
      </w:r>
      <w:r w:rsidDel="00000000" w:rsidR="00000000" w:rsidRPr="00000000">
        <w:rPr>
          <w:sz w:val="24"/>
          <w:szCs w:val="24"/>
          <w:rtl w:val="1"/>
        </w:rPr>
        <w:t xml:space="preserve">משה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ידבר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והאלהים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יעננו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בקול</w:t>
      </w:r>
      <w:r w:rsidDel="00000000" w:rsidR="00000000" w:rsidRPr="00000000">
        <w:rPr>
          <w:sz w:val="24"/>
          <w:szCs w:val="24"/>
          <w:rtl w:val="1"/>
        </w:rPr>
        <w:t xml:space="preserve">". </w:t>
      </w:r>
      <w:r w:rsidDel="00000000" w:rsidR="00000000" w:rsidRPr="00000000">
        <w:rPr>
          <w:sz w:val="24"/>
          <w:szCs w:val="24"/>
          <w:rtl w:val="1"/>
        </w:rPr>
        <w:t xml:space="preserve">וכך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דבור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מדבר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השם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יתברך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הדבור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בפיו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אבל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מדבר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מעצמו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כמו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השליח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כאשר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צוה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המשלח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וזה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פירוש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שאמרו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חכמים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מגילה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</w:t>
      </w:r>
      <w:r w:rsidDel="00000000" w:rsidR="00000000" w:rsidRPr="00000000">
        <w:rPr>
          <w:sz w:val="24"/>
          <w:szCs w:val="24"/>
          <w:rtl w:val="1"/>
        </w:rPr>
        <w:t xml:space="preserve">) '</w:t>
      </w:r>
      <w:r w:rsidDel="00000000" w:rsidR="00000000" w:rsidRPr="00000000">
        <w:rPr>
          <w:sz w:val="24"/>
          <w:szCs w:val="24"/>
          <w:rtl w:val="1"/>
        </w:rPr>
        <w:t xml:space="preserve">קללות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שבמשנה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מפי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עצמו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אמרם</w:t>
      </w:r>
      <w:r w:rsidDel="00000000" w:rsidR="00000000" w:rsidRPr="00000000">
        <w:rPr>
          <w:sz w:val="24"/>
          <w:szCs w:val="24"/>
          <w:rtl w:val="1"/>
        </w:rPr>
        <w:t xml:space="preserve">'. </w:t>
      </w:r>
      <w:r w:rsidDel="00000000" w:rsidR="00000000" w:rsidRPr="00000000">
        <w:rPr>
          <w:sz w:val="24"/>
          <w:szCs w:val="24"/>
          <w:rtl w:val="1"/>
        </w:rPr>
        <w:t xml:space="preserve">כלומר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שלא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יתברך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נותן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הדבור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בפיו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שלא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היה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"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משנה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תורה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"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רק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לקבל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את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התורה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,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והקבלה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הוא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על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ידי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מי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שקרוב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אל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המקבל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,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כי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המקבל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הוא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עיקר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במשנה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תורה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.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לכך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היה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זה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על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ידי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משה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רבינו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עליו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השלום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,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שהוא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קרוב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אל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המקבל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.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כלל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הדבר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,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כי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השם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יתברך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נתן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התורה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,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וישראל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היו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מקבלים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אותה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.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והקבלה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היא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בסוף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,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וזהו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"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משנה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תורה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",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שהיא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בסוף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.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ולכך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הדבור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הוא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כפי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הראוי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אל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המקבל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,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כי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המקבל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הוא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עיקר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שם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,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דהיינו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כי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משנה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תורה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לאוסופי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אתי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(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חולין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סג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ב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),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לבאר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יותר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כאשר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ראוי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למקבל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.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וזהו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עיקר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גדול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.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ובזה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יתורץ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כל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החלופים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והשנוים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שהם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בדברות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אחרונות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.</w:t>
      </w:r>
      <w:r w:rsidDel="00000000" w:rsidR="00000000" w:rsidRPr="00000000">
        <w:rPr>
          <w:sz w:val="24"/>
          <w:szCs w:val="24"/>
          <w:rtl w:val="0"/>
        </w:rPr>
        <w:t xml:space="preserve">  …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u w:val="single"/>
          <w:rtl w:val="1"/>
        </w:rPr>
        <w:t xml:space="preserve"> 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ודבר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זה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עצמו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בתורה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גם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כן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,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שהיא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הברית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גם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כן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בין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השם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יתברך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ובין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ישראל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.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שכל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התורה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,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חוץ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ממשנה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תורה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,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הוא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דבר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השם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יתברך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בעצמו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.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אבל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משנה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תורה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הוא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כנגד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מקבל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הברית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,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הם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ישראל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.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ולכך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כל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משנה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התורה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בלשון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יחיד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נאמרה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,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מפני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כי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משנה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תורה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שהוא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קרוב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אל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המקבל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,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כמו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שאמרנו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,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הוא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מאחד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ומקשר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את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ישראל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כאיש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אחד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…</w:t>
      </w:r>
    </w:p>
    <w:p w:rsidR="00000000" w:rsidDel="00000000" w:rsidP="00000000" w:rsidRDefault="00000000" w:rsidRPr="00000000" w14:paraId="00000016">
      <w:pPr>
        <w:bidi w:val="1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.8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תלמוד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בבלי</w:t>
      </w:r>
      <w:r w:rsidDel="00000000" w:rsidR="00000000" w:rsidRPr="00000000">
        <w:rPr>
          <w:b w:val="1"/>
          <w:sz w:val="28"/>
          <w:szCs w:val="28"/>
          <w:rtl w:val="1"/>
        </w:rPr>
        <w:t xml:space="preserve">, </w:t>
      </w:r>
      <w:r w:rsidDel="00000000" w:rsidR="00000000" w:rsidRPr="00000000">
        <w:rPr>
          <w:b w:val="1"/>
          <w:sz w:val="28"/>
          <w:szCs w:val="28"/>
          <w:rtl w:val="1"/>
        </w:rPr>
        <w:t xml:space="preserve">מסכת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ברכות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דף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כא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עמוד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ב</w:t>
      </w:r>
      <w:r w:rsidDel="00000000" w:rsidR="00000000" w:rsidRPr="00000000">
        <w:rPr>
          <w:b w:val="1"/>
          <w:sz w:val="26"/>
          <w:szCs w:val="26"/>
          <w:rtl w:val="0"/>
        </w:rPr>
        <w:t xml:space="preserve"> Brachot 21b     </w:t>
      </w:r>
      <w:r w:rsidDel="00000000" w:rsidR="00000000" w:rsidRPr="00000000">
        <w:rPr>
          <w:b w:val="1"/>
          <w:sz w:val="28"/>
          <w:szCs w:val="28"/>
          <w:rtl w:val="0"/>
        </w:rPr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br w:type="textWrapping"/>
      </w:r>
      <w:r w:rsidDel="00000000" w:rsidR="00000000" w:rsidRPr="00000000">
        <w:rPr>
          <w:sz w:val="24"/>
          <w:szCs w:val="24"/>
          <w:rtl w:val="1"/>
        </w:rPr>
        <w:t xml:space="preserve">וכי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תימא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sz w:val="24"/>
          <w:szCs w:val="24"/>
          <w:rtl w:val="1"/>
        </w:rPr>
        <w:t xml:space="preserve">רבי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יהודה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דריש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סמוכים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והאמר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יוסף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sz w:val="24"/>
          <w:szCs w:val="24"/>
          <w:rtl w:val="1"/>
        </w:rPr>
        <w:t xml:space="preserve">אפילו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מאן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דריש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סמוכים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התורה</w:t>
      </w:r>
      <w:r w:rsidDel="00000000" w:rsidR="00000000" w:rsidRPr="00000000">
        <w:rPr>
          <w:sz w:val="24"/>
          <w:szCs w:val="24"/>
          <w:rtl w:val="1"/>
        </w:rPr>
        <w:t xml:space="preserve"> - </w:t>
      </w:r>
      <w:r w:rsidDel="00000000" w:rsidR="00000000" w:rsidRPr="00000000">
        <w:rPr>
          <w:sz w:val="24"/>
          <w:szCs w:val="24"/>
          <w:rtl w:val="1"/>
        </w:rPr>
        <w:t xml:space="preserve">במשנה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דריש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דהא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רבי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יהודה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דריש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סמוכין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כולה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ובמשנה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דריש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9. </w:t>
      </w:r>
      <w:r w:rsidDel="00000000" w:rsidR="00000000" w:rsidRPr="00000000">
        <w:rPr>
          <w:b w:val="1"/>
          <w:sz w:val="28"/>
          <w:szCs w:val="28"/>
          <w:rtl w:val="1"/>
        </w:rPr>
        <w:t xml:space="preserve">ראב</w:t>
      </w:r>
      <w:r w:rsidDel="00000000" w:rsidR="00000000" w:rsidRPr="00000000">
        <w:rPr>
          <w:b w:val="1"/>
          <w:sz w:val="28"/>
          <w:szCs w:val="28"/>
          <w:rtl w:val="1"/>
        </w:rPr>
        <w:t xml:space="preserve">"</w:t>
      </w:r>
      <w:r w:rsidDel="00000000" w:rsidR="00000000" w:rsidRPr="00000000">
        <w:rPr>
          <w:b w:val="1"/>
          <w:sz w:val="28"/>
          <w:szCs w:val="28"/>
          <w:rtl w:val="1"/>
        </w:rPr>
        <w:t xml:space="preserve">ן</w:t>
      </w:r>
      <w:r w:rsidDel="00000000" w:rsidR="00000000" w:rsidRPr="00000000">
        <w:rPr>
          <w:b w:val="1"/>
          <w:sz w:val="28"/>
          <w:szCs w:val="28"/>
          <w:rtl w:val="1"/>
        </w:rPr>
        <w:t xml:space="preserve">, </w:t>
      </w:r>
      <w:r w:rsidDel="00000000" w:rsidR="00000000" w:rsidRPr="00000000">
        <w:rPr>
          <w:b w:val="1"/>
          <w:sz w:val="28"/>
          <w:szCs w:val="28"/>
          <w:rtl w:val="1"/>
        </w:rPr>
        <w:t xml:space="preserve">שאלות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ותשובות</w:t>
      </w:r>
      <w:r w:rsidDel="00000000" w:rsidR="00000000" w:rsidRPr="00000000">
        <w:rPr>
          <w:b w:val="1"/>
          <w:sz w:val="28"/>
          <w:szCs w:val="28"/>
          <w:rtl w:val="1"/>
        </w:rPr>
        <w:t xml:space="preserve"> (</w:t>
      </w:r>
      <w:r w:rsidDel="00000000" w:rsidR="00000000" w:rsidRPr="00000000">
        <w:rPr>
          <w:b w:val="1"/>
          <w:sz w:val="28"/>
          <w:szCs w:val="28"/>
          <w:rtl w:val="1"/>
        </w:rPr>
        <w:t xml:space="preserve">בתחילת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הספר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סימן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לד</w:t>
      </w:r>
      <w:r w:rsidDel="00000000" w:rsidR="00000000" w:rsidRPr="00000000">
        <w:rPr>
          <w:b w:val="1"/>
          <w:sz w:val="26"/>
          <w:szCs w:val="26"/>
          <w:rtl w:val="0"/>
        </w:rPr>
        <w:t xml:space="preserve"> Ra'avan, Responsa, Siman 34</w:t>
      </w:r>
      <w:r w:rsidDel="00000000" w:rsidR="00000000" w:rsidRPr="00000000">
        <w:rPr>
          <w:b w:val="1"/>
          <w:sz w:val="28"/>
          <w:szCs w:val="28"/>
          <w:rtl w:val="0"/>
        </w:rPr>
        <w:t xml:space="preserve">     </w:t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br w:type="textWrapping"/>
      </w:r>
      <w:r w:rsidDel="00000000" w:rsidR="00000000" w:rsidRPr="00000000">
        <w:rPr>
          <w:sz w:val="24"/>
          <w:szCs w:val="24"/>
          <w:rtl w:val="1"/>
        </w:rPr>
        <w:t xml:space="preserve">דאפילו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מאן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דריש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סמוכין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התורה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במשנה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דריש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וטעמא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מפי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הגבורה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נאמרה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ואין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מוקדם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ומאוחר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אבל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שסידר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פרשה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אחר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פרשה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סידר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להדרש</w:t>
      </w:r>
      <w:r w:rsidDel="00000000" w:rsidR="00000000" w:rsidRPr="00000000">
        <w:rPr>
          <w:sz w:val="24"/>
          <w:szCs w:val="24"/>
          <w:rtl w:val="1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10. </w:t>
      </w:r>
      <w:r w:rsidDel="00000000" w:rsidR="00000000" w:rsidRPr="00000000">
        <w:rPr>
          <w:b w:val="1"/>
          <w:sz w:val="28"/>
          <w:szCs w:val="28"/>
          <w:rtl w:val="1"/>
        </w:rPr>
        <w:t xml:space="preserve">אהל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יעקב</w:t>
      </w:r>
      <w:r w:rsidDel="00000000" w:rsidR="00000000" w:rsidRPr="00000000">
        <w:rPr>
          <w:b w:val="1"/>
          <w:sz w:val="28"/>
          <w:szCs w:val="28"/>
          <w:rtl w:val="1"/>
        </w:rPr>
        <w:t xml:space="preserve">, </w:t>
      </w:r>
      <w:r w:rsidDel="00000000" w:rsidR="00000000" w:rsidRPr="00000000">
        <w:rPr>
          <w:b w:val="1"/>
          <w:sz w:val="28"/>
          <w:szCs w:val="28"/>
          <w:rtl w:val="1"/>
        </w:rPr>
        <w:t xml:space="preserve">דברים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דף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כ</w:t>
      </w:r>
      <w:r w:rsidDel="00000000" w:rsidR="00000000" w:rsidRPr="00000000">
        <w:rPr>
          <w:b w:val="1"/>
          <w:sz w:val="28"/>
          <w:szCs w:val="28"/>
          <w:rtl w:val="1"/>
        </w:rPr>
        <w:t xml:space="preserve"> -   </w:t>
      </w:r>
      <w:r w:rsidDel="00000000" w:rsidR="00000000" w:rsidRPr="00000000">
        <w:rPr>
          <w:b w:val="1"/>
          <w:sz w:val="28"/>
          <w:szCs w:val="28"/>
          <w:rtl w:val="1"/>
        </w:rPr>
        <w:t xml:space="preserve">ר</w:t>
      </w:r>
      <w:r w:rsidDel="00000000" w:rsidR="00000000" w:rsidRPr="00000000">
        <w:rPr>
          <w:b w:val="1"/>
          <w:sz w:val="28"/>
          <w:szCs w:val="28"/>
          <w:rtl w:val="1"/>
        </w:rPr>
        <w:t xml:space="preserve">’ </w:t>
      </w:r>
      <w:r w:rsidDel="00000000" w:rsidR="00000000" w:rsidRPr="00000000">
        <w:rPr>
          <w:b w:val="1"/>
          <w:sz w:val="28"/>
          <w:szCs w:val="28"/>
          <w:rtl w:val="1"/>
        </w:rPr>
        <w:t xml:space="preserve">יעקב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בן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זאב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קראנץ</w:t>
      </w:r>
      <w:r w:rsidDel="00000000" w:rsidR="00000000" w:rsidRPr="00000000">
        <w:rPr>
          <w:b w:val="1"/>
          <w:sz w:val="28"/>
          <w:szCs w:val="28"/>
          <w:rtl w:val="1"/>
        </w:rPr>
        <w:t xml:space="preserve"> (</w:t>
      </w:r>
      <w:r w:rsidDel="00000000" w:rsidR="00000000" w:rsidRPr="00000000">
        <w:rPr>
          <w:b w:val="1"/>
          <w:sz w:val="28"/>
          <w:szCs w:val="28"/>
          <w:rtl w:val="1"/>
        </w:rPr>
        <w:t xml:space="preserve">המגיד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מדובנא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</w:p>
    <w:p w:rsidR="00000000" w:rsidDel="00000000" w:rsidP="00000000" w:rsidRDefault="00000000" w:rsidRPr="00000000" w14:paraId="0000001E">
      <w:pPr>
        <w:bidi w:val="1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           Ohel Yaakov, Devarim     R’ Yaakov ben Zeev Kranz (The Dubner Maggid)        </w:t>
        <w:br w:type="textWrapping"/>
        <w:t xml:space="preserve">        </w:t>
      </w:r>
    </w:p>
    <w:p w:rsidR="00000000" w:rsidDel="00000000" w:rsidP="00000000" w:rsidRDefault="00000000" w:rsidRPr="00000000" w14:paraId="0000001F">
      <w:pPr>
        <w:bidi w:val="1"/>
        <w:jc w:val="center"/>
        <w:rPr/>
      </w:pPr>
      <w:r w:rsidDel="00000000" w:rsidR="00000000" w:rsidRPr="00000000">
        <w:rPr/>
        <w:drawing>
          <wp:inline distB="0" distT="0" distL="0" distR="0">
            <wp:extent cx="2838450" cy="3666490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36664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Narkisim"/>
  <w:font w:name="RashiD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845820</wp:posOffset>
          </wp:positionH>
          <wp:positionV relativeFrom="paragraph">
            <wp:posOffset>-129539</wp:posOffset>
          </wp:positionV>
          <wp:extent cx="5486400" cy="884615"/>
          <wp:effectExtent b="0" l="0" r="0" t="0"/>
          <wp:wrapNone/>
          <wp:docPr descr="C:\Users\user2\AppData\Local\Microsoft\Windows\INetCache\Content.Word\10416_MAPE_MEKOROT_footer.png" id="5" name="image3.png"/>
          <a:graphic>
            <a:graphicData uri="http://schemas.openxmlformats.org/drawingml/2006/picture">
              <pic:pic>
                <pic:nvPicPr>
                  <pic:cNvPr descr="C:\Users\user2\AppData\Local\Microsoft\Windows\INetCache\Content.Word\10416_MAPE_MEKOROT_footer.png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86400" cy="88461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bidi w:val="1"/>
      <w:spacing w:after="0" w:before="0" w:line="240" w:lineRule="auto"/>
      <w:ind w:left="0" w:right="0" w:firstLine="216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  <w:rtl w:val="1"/>
      </w:rPr>
      <w:t xml:space="preserve">ימי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  <w:rtl w:val="1"/>
      </w:rPr>
      <w:t xml:space="preserve">עיון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  <w:rtl w:val="1"/>
      </w:rPr>
      <w:t xml:space="preserve">בתנ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  <w:rtl w:val="1"/>
      </w:rPr>
      <w:t xml:space="preserve">"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  <w:rtl w:val="1"/>
      </w:rPr>
      <w:t xml:space="preserve">ך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  <w:rtl w:val="1"/>
      </w:rPr>
      <w:t xml:space="preserve">תשפ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  <w:rtl w:val="1"/>
      </w:rPr>
      <w:t xml:space="preserve">"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  <w:rtl w:val="1"/>
      </w:rPr>
      <w:t xml:space="preserve">ב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-294004</wp:posOffset>
          </wp:positionH>
          <wp:positionV relativeFrom="paragraph">
            <wp:posOffset>-298993</wp:posOffset>
          </wp:positionV>
          <wp:extent cx="1578428" cy="870585"/>
          <wp:effectExtent b="0" l="0" r="0" t="0"/>
          <wp:wrapNone/>
          <wp:docPr descr="C:\Users\user2\AppData\Local\Microsoft\Windows\INetCache\Content.Word\10416_MAPE_MEKOROT_up.png" id="4" name="image2.png"/>
          <a:graphic>
            <a:graphicData uri="http://schemas.openxmlformats.org/drawingml/2006/picture">
              <pic:pic>
                <pic:nvPicPr>
                  <pic:cNvPr descr="C:\Users\user2\AppData\Local\Microsoft\Windows\INetCache\Content.Word\10416_MAPE_MEKOROT_up.png" id="0" name="image2.png"/>
                  <pic:cNvPicPr preferRelativeResize="0"/>
                </pic:nvPicPr>
                <pic:blipFill>
                  <a:blip r:embed="rId1"/>
                  <a:srcRect b="-7503" l="992" r="70238" t="7503"/>
                  <a:stretch>
                    <a:fillRect/>
                  </a:stretch>
                </pic:blipFill>
                <pic:spPr>
                  <a:xfrm>
                    <a:off x="0" y="0"/>
                    <a:ext cx="1578428" cy="8705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6363B9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6363B9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paragraph" w:styleId="Heading4">
    <w:name w:val="heading 4"/>
    <w:basedOn w:val="Normal"/>
    <w:link w:val="Heading4Char"/>
    <w:uiPriority w:val="9"/>
    <w:qFormat w:val="1"/>
    <w:rsid w:val="00113638"/>
    <w:pPr>
      <w:spacing w:after="100" w:afterAutospacing="1" w:before="100" w:beforeAutospacing="1" w:line="240" w:lineRule="auto"/>
      <w:outlineLvl w:val="3"/>
    </w:pPr>
    <w:rPr>
      <w:rFonts w:ascii="Times New Roman" w:cs="Times New Roman" w:eastAsia="Times New Roman" w:hAnsi="Times New Roman"/>
      <w:b w:val="1"/>
      <w:bCs w:val="1"/>
      <w:sz w:val="24"/>
      <w:szCs w:val="24"/>
      <w:lang w:bidi="he-IL" w:eastAsia="en-US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6363B9"/>
    <w:pPr>
      <w:keepNext w:val="1"/>
      <w:keepLines w:val="1"/>
      <w:spacing w:after="0" w:before="40"/>
      <w:outlineLvl w:val="4"/>
    </w:pPr>
    <w:rPr>
      <w:rFonts w:asciiTheme="majorHAnsi" w:cstheme="majorBidi" w:eastAsiaTheme="majorEastAsia" w:hAnsiTheme="majorHAnsi"/>
      <w:color w:val="2e74b5" w:themeColor="accent1" w:themeShade="0000BF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DA4C86"/>
    <w:pPr>
      <w:tabs>
        <w:tab w:val="center" w:pos="4320"/>
        <w:tab w:val="right" w:pos="864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A4C86"/>
  </w:style>
  <w:style w:type="paragraph" w:styleId="Footer">
    <w:name w:val="footer"/>
    <w:basedOn w:val="Normal"/>
    <w:link w:val="FooterChar"/>
    <w:uiPriority w:val="99"/>
    <w:unhideWhenUsed w:val="1"/>
    <w:rsid w:val="00DA4C86"/>
    <w:pPr>
      <w:tabs>
        <w:tab w:val="center" w:pos="4320"/>
        <w:tab w:val="right" w:pos="864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A4C86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DA4C86"/>
    <w:pPr>
      <w:spacing w:after="0" w:line="240" w:lineRule="auto"/>
    </w:pPr>
    <w:rPr>
      <w:rFonts w:ascii="Tahoma" w:cs="Tahoma" w:hAnsi="Tahoma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DA4C86"/>
    <w:rPr>
      <w:rFonts w:ascii="Tahoma" w:cs="Tahoma" w:hAnsi="Tahoma"/>
      <w:sz w:val="18"/>
      <w:szCs w:val="18"/>
    </w:rPr>
  </w:style>
  <w:style w:type="paragraph" w:styleId="NormalWeb">
    <w:name w:val="Normal (Web)"/>
    <w:basedOn w:val="Normal"/>
    <w:uiPriority w:val="99"/>
    <w:semiHidden w:val="1"/>
    <w:unhideWhenUsed w:val="1"/>
    <w:rsid w:val="008C13D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bidi="he-IL" w:eastAsia="en-US"/>
    </w:rPr>
  </w:style>
  <w:style w:type="paragraph" w:styleId="ListParagraph">
    <w:name w:val="List Paragraph"/>
    <w:basedOn w:val="Normal"/>
    <w:uiPriority w:val="34"/>
    <w:qFormat w:val="1"/>
    <w:rsid w:val="0029234F"/>
    <w:pPr>
      <w:ind w:left="720"/>
      <w:contextualSpacing w:val="1"/>
    </w:pPr>
  </w:style>
  <w:style w:type="character" w:styleId="apple-tab-span" w:customStyle="1">
    <w:name w:val="apple-tab-span"/>
    <w:basedOn w:val="DefaultParagraphFont"/>
    <w:rsid w:val="00E47B35"/>
  </w:style>
  <w:style w:type="character" w:styleId="Heading4Char" w:customStyle="1">
    <w:name w:val="Heading 4 Char"/>
    <w:basedOn w:val="DefaultParagraphFont"/>
    <w:link w:val="Heading4"/>
    <w:uiPriority w:val="9"/>
    <w:rsid w:val="00113638"/>
    <w:rPr>
      <w:rFonts w:ascii="Times New Roman" w:cs="Times New Roman" w:eastAsia="Times New Roman" w:hAnsi="Times New Roman"/>
      <w:b w:val="1"/>
      <w:bCs w:val="1"/>
      <w:sz w:val="24"/>
      <w:szCs w:val="24"/>
      <w:lang w:bidi="he-IL" w:eastAsia="en-US"/>
    </w:rPr>
  </w:style>
  <w:style w:type="character" w:styleId="Hyperlink">
    <w:name w:val="Hyperlink"/>
    <w:basedOn w:val="DefaultParagraphFont"/>
    <w:uiPriority w:val="99"/>
    <w:unhideWhenUsed w:val="1"/>
    <w:rsid w:val="006150EC"/>
    <w:rPr>
      <w:color w:val="0000ff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6363B9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6363B9"/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6363B9"/>
    <w:rPr>
      <w:rFonts w:asciiTheme="majorHAnsi" w:cstheme="majorBidi" w:eastAsiaTheme="majorEastAsia" w:hAnsiTheme="majorHAnsi"/>
      <w:color w:val="2e74b5" w:themeColor="accent1" w:themeShade="0000BF"/>
    </w:rPr>
  </w:style>
  <w:style w:type="paragraph" w:styleId="NoSpacing">
    <w:name w:val="No Spacing"/>
    <w:aliases w:val="ציטוט1"/>
    <w:basedOn w:val="Normal"/>
    <w:link w:val="NoSpacingChar"/>
    <w:qFormat w:val="1"/>
    <w:rsid w:val="00435F4B"/>
    <w:pPr>
      <w:bidi w:val="1"/>
      <w:spacing w:after="0" w:line="240" w:lineRule="auto"/>
      <w:ind w:left="401" w:right="567"/>
      <w:jc w:val="both"/>
    </w:pPr>
    <w:rPr>
      <w:rFonts w:ascii="Times New Roman" w:cs="Times New Roman" w:eastAsia="Calibri" w:hAnsi="Times New Roman"/>
      <w:b w:val="1"/>
      <w:bCs w:val="1"/>
      <w:u w:color="c45911"/>
      <w:lang w:bidi="he-IL" w:eastAsia="en-US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435F4B"/>
    <w:pPr>
      <w:bidi w:val="1"/>
      <w:spacing w:line="240" w:lineRule="auto"/>
    </w:pPr>
    <w:rPr>
      <w:rFonts w:ascii="Calibri" w:cs="Arial" w:eastAsia="Calibri" w:hAnsi="Calibri"/>
      <w:sz w:val="20"/>
      <w:szCs w:val="20"/>
      <w:u w:color="c45911"/>
      <w:lang w:bidi="he-IL" w:eastAsia="en-US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435F4B"/>
    <w:rPr>
      <w:rFonts w:ascii="Calibri" w:cs="Arial" w:eastAsia="Calibri" w:hAnsi="Calibri"/>
      <w:sz w:val="20"/>
      <w:szCs w:val="20"/>
      <w:u w:color="c45911"/>
      <w:lang w:bidi="he-IL" w:eastAsia="en-US"/>
    </w:rPr>
  </w:style>
  <w:style w:type="character" w:styleId="NoSpacingChar" w:customStyle="1">
    <w:name w:val="No Spacing Char"/>
    <w:aliases w:val="ציטוט1 Char"/>
    <w:link w:val="NoSpacing"/>
    <w:locked w:val="1"/>
    <w:rsid w:val="00435F4B"/>
    <w:rPr>
      <w:rFonts w:ascii="Times New Roman" w:cs="Times New Roman" w:eastAsia="Calibri" w:hAnsi="Times New Roman"/>
      <w:b w:val="1"/>
      <w:bCs w:val="1"/>
      <w:u w:color="c45911"/>
      <w:lang w:bidi="he-IL"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kzglQfKAvb6RRN4q+KjTje/Chg==">AMUW2mXQ2syy51BqW+9F20qHE3QbKXjtC/4j6xp84LmlR5lQfVHZOnrFA/YvAZj843g4YnzGh6yogZtvp56HEmPry3rdLfrBJP0cuX3feHE7rDKbfds0kHv8dRtR/ANRBD1y6wCQEycK+/KAlU4aEEHEaSCh20O54q5rUZA7As/hUHVmt02Wnl0=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2022-07-12T17:55:00Z</dcterms:created>
  <dc:creator>user2</dc:creator>
</cp:coreProperties>
</file>